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一、项目名称：兴仁市人民医院网络安全设备维保续费服务及数据库运维服务采购</w:t>
      </w:r>
    </w:p>
    <w:p>
      <w:pPr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  <w:lang w:eastAsia="zh-CN"/>
        </w:rPr>
        <w:t>二</w:t>
      </w:r>
      <w:r>
        <w:rPr>
          <w:rFonts w:hint="eastAsia" w:ascii="仿宋" w:hAnsi="仿宋" w:eastAsia="仿宋"/>
          <w:sz w:val="24"/>
          <w:szCs w:val="28"/>
        </w:rPr>
        <w:t>、采购内容：医院现有网络安全设备维保续费，及核心数据库运维服务，详细清单如下：</w:t>
      </w:r>
    </w:p>
    <w:tbl>
      <w:tblPr>
        <w:tblStyle w:val="5"/>
        <w:tblW w:w="991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40"/>
        <w:gridCol w:w="2080"/>
        <w:gridCol w:w="1080"/>
        <w:gridCol w:w="1080"/>
        <w:gridCol w:w="2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维保设备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产品型号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服务年限</w:t>
            </w:r>
          </w:p>
        </w:tc>
        <w:tc>
          <w:tcPr>
            <w:tcW w:w="2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服务界面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9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上网行为管理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AC-1000-D420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3年</w:t>
            </w:r>
          </w:p>
        </w:tc>
        <w:tc>
          <w:tcPr>
            <w:tcW w:w="2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软件升级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URL&amp;应用识别规则库升级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服务器防火墙</w:t>
            </w:r>
          </w:p>
        </w:tc>
        <w:tc>
          <w:tcPr>
            <w:tcW w:w="2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AF-1000-F440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3年</w:t>
            </w:r>
          </w:p>
        </w:tc>
        <w:tc>
          <w:tcPr>
            <w:tcW w:w="2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软件升级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云智订阅软件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数据库审计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DAS-1000-A620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3年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软件升级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终端检测响应平台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EDR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1套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3年</w:t>
            </w:r>
          </w:p>
        </w:tc>
        <w:tc>
          <w:tcPr>
            <w:tcW w:w="2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软件升级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6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授权扩容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堡垒机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OSM-1000-A600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3年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软件升级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日志审计</w:t>
            </w:r>
          </w:p>
        </w:tc>
        <w:tc>
          <w:tcPr>
            <w:tcW w:w="2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LAS-1000-A600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1台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3年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软件升级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数据库运维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1年</w:t>
            </w:r>
          </w:p>
        </w:tc>
        <w:tc>
          <w:tcPr>
            <w:tcW w:w="2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数据库运维服务</w:t>
            </w:r>
          </w:p>
        </w:tc>
      </w:tr>
    </w:tbl>
    <w:p>
      <w:pPr>
        <w:rPr>
          <w:rFonts w:ascii="仿宋" w:hAnsi="仿宋" w:eastAsia="仿宋"/>
          <w:sz w:val="24"/>
          <w:szCs w:val="28"/>
        </w:rPr>
      </w:pPr>
    </w:p>
    <w:p>
      <w:pPr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  <w:lang w:eastAsia="zh-CN"/>
        </w:rPr>
        <w:t>三</w:t>
      </w:r>
      <w:r>
        <w:rPr>
          <w:rFonts w:hint="eastAsia" w:ascii="仿宋" w:hAnsi="仿宋" w:eastAsia="仿宋"/>
          <w:sz w:val="24"/>
          <w:szCs w:val="28"/>
        </w:rPr>
        <w:t>、维保续费服务功能要求：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495"/>
        <w:gridCol w:w="1626"/>
        <w:gridCol w:w="1675"/>
        <w:gridCol w:w="4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服务界面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对应设备型号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服务需求</w:t>
            </w:r>
          </w:p>
        </w:tc>
        <w:tc>
          <w:tcPr>
            <w:tcW w:w="51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功能要求说明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80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软件升级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AC-1000-D420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3年软件升级</w:t>
            </w:r>
          </w:p>
        </w:tc>
        <w:tc>
          <w:tcPr>
            <w:tcW w:w="5140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1、不断更新软件版本和优化方案，对以前各个版本中发现的问题进行修复，并持续对当前主流版本做优化，确保提供给最优的使用体验；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2、★在所有正式发布的各个软件版本及补丁、升级包中，自行选择升级或者更新，让业务系统总是运行在最新、最稳定的软件环境下，从而确保业务系统的最佳稳定性。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DAS-1000-A620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3年软件升级</w:t>
            </w:r>
          </w:p>
        </w:tc>
        <w:tc>
          <w:tcPr>
            <w:tcW w:w="51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AF-1000-F440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3年软件升级</w:t>
            </w:r>
          </w:p>
        </w:tc>
        <w:tc>
          <w:tcPr>
            <w:tcW w:w="51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EDR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3年软件升级</w:t>
            </w:r>
          </w:p>
        </w:tc>
        <w:tc>
          <w:tcPr>
            <w:tcW w:w="51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OSM-1000-A600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3年软件升级</w:t>
            </w:r>
          </w:p>
        </w:tc>
        <w:tc>
          <w:tcPr>
            <w:tcW w:w="51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LAS-1000-A600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3年软件升级</w:t>
            </w:r>
          </w:p>
        </w:tc>
        <w:tc>
          <w:tcPr>
            <w:tcW w:w="51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URL&amp;应用识别规则库升级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AC-1000-D420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3年URL&amp;规则库升级</w:t>
            </w:r>
          </w:p>
        </w:tc>
        <w:tc>
          <w:tcPr>
            <w:tcW w:w="51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、★支持不少于10000种应用规则，进行检测与控制。设备内置应用识别规则库，支持对游戏、P2P下载工具、聊天工具、网上银行、视频软件、股票软件、木马控制软件等超过6000种应用规则，内置应用数量不少于2800种，移动应用数量不低于1000种，并保持每两个星期更新一次，保证应用识别的准确率；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0"/>
                <w:szCs w:val="20"/>
              </w:rPr>
              <w:t>（需提供产品功能截图证明）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2、支持根据URL类别实现URL过滤；内置URL数量不少于3000万条以上，包含分类数量150个以上，月度更新次数不少于4次，单次更新数量不少于100000条。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云智订阅软件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AF-1000-F440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3年云智订阅软件</w:t>
            </w:r>
          </w:p>
        </w:tc>
        <w:tc>
          <w:tcPr>
            <w:tcW w:w="51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、★支持不少于10000种应用规则，进行检测与控制。设备内置应用识别规则库，支持对游戏、P2P下载工具、聊天工具、网上银行、视频软件、股票软件、木马控制软件等超过6000种应用规则，内置应用数量不少于2800种，移动应用数量不低于1000种，并保持每两个星期更新一次，保证应用识别的准确率。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0"/>
                <w:szCs w:val="20"/>
              </w:rPr>
              <w:t>（需提供产品功能截图证明）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2、★支持根据URL类别实现URL过滤；内置URL数量不少于3000万条以上，包含分类数量150个以上，月度更新次数不少于4次，单次更新数量不少于100000条。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3、★支持口令暴力破解、僵尸网络、恶意软件、服务器与终端漏洞攻击等检测和防护， 所包含规则特征不少于7000种。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4、★内置超过50万的病毒，木马，间谍软件等恶意软件特征库；能够有效区分RDP 、SSH、 IMAP、SMTP、POP3、FTP、 DNS、 HTTP等服务器上常见应用流量中的危险流量，也能对常规应用运行在非标准端口的为进行预警；支持联网设备的分钟级更新，非联网设备保持每周至少一次的更新。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、★内置规则支持检测与抵御注入式攻击（包含SQL注入、系统命令注入）、信息泄露攻击、跨站脚本（XSS）、网站扫描、WEBSHELL后门攻击、跨站请求伪造、目录遍历攻击、WEB整站系统漏洞等应用层攻击行为，支持超过3000种Web服务器漏洞特征规则。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0"/>
                <w:szCs w:val="20"/>
              </w:rPr>
              <w:t>（需提供产品功能截图证明）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授权扩容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EDR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50个服务器端授权</w:t>
            </w:r>
          </w:p>
        </w:tc>
        <w:tc>
          <w:tcPr>
            <w:tcW w:w="51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1.支持全网风险包括但不限于未处理的勒索病毒数量、暴力破解数量、僵尸网络、WebShell后门数量、高危漏洞及其各自影响的终端数量的展示。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★2.支持对Windows服务器的重要目录进行权限控制，仅允许配置的可信进程操作该目录并提供配置指引，并提供基于可信鉴定方式的进程防护方式，通过人工智能自学习建立可信进程名单，阻断非可信进程的运行并提供配置指引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0"/>
                <w:szCs w:val="20"/>
              </w:rPr>
              <w:t>(提供截图证明并加盖产品制造商公章)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3.支持对终端的漏洞情况进行扫描，并查看漏洞具体情况及KB号，并显示具体修复情况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★4. 一键式操作对指定终端/终端组进行合规性检查，包括身份鉴别、访问控制、安全审计、剩余信息保护、入侵防范、恶意代码防范，对不合规的检查项提供设置建议，并可视化展示终端的基线合规检查结果。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0"/>
                <w:szCs w:val="20"/>
              </w:rPr>
              <w:t>（提供截图证明并加盖厂商公章）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5.支持统计单个攻击源及分布式攻击源的暴力破解检测，支持按照RDP、SMB和SSH类型进行封堵并自定义爆破阈值，可对封停时间进行自设置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6.支持提供挖矿病毒巡检工具，支持通过内存、进程和启动项来检索病毒相关信息。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★7.基于勒索病毒攻击过程，建立多维度立体防护机制，提供事前入侵防御-事中反加密-事后检测响应的完整防护体系，展示勒索病毒处置情况，对勒索病毒及变种实现专门有效防御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0"/>
                <w:szCs w:val="20"/>
              </w:rPr>
              <w:t>（提供截图证明并加盖厂商公章）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8.支持终端自动分组管理，新接入的终端可以根据网段自动分配到对应的分组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★9.支持与网络中防火墙、安全态势感知平台等设备实现安全联动，管理员可以在防火墙、安全感知平台管理界面下发快速查杀任务，并查看任务状态、结果并进行处置，支持在管理平台查询和统计联动信息。</w:t>
            </w:r>
            <w:r>
              <w:rPr>
                <w:rFonts w:hint="eastAsia" w:ascii="仿宋" w:hAnsi="仿宋" w:eastAsia="仿宋" w:cs="宋体"/>
                <w:color w:val="FF0000"/>
                <w:kern w:val="0"/>
                <w:sz w:val="20"/>
                <w:szCs w:val="20"/>
              </w:rPr>
              <w:t>（提供截图证明并加盖厂商公章）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8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数据库运维服务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/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1年数据库运维服务</w:t>
            </w:r>
          </w:p>
        </w:tc>
        <w:tc>
          <w:tcPr>
            <w:tcW w:w="51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HIS、EMR数据库运维服务：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1. Oracle数据库电话支持服务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Oracle产品技术专家直接同客户对话，帮助解决客户提出的疑难问题；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根据问题的严重程度，将优先解决客户认为是关键而紧急的任务；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对客户提出的一般性问题进行技术咨询、指导；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定期的客户管理报告, 避免问题再度发生。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★2. Oracle数据库产品服务响应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数据库宕机；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数据坏块；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影响业务不能进行的产品问题。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3. Oracle数据库产品系统健康检查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对系统的配置及运作框架提出建议，以帮助您得到一个更坚强可靠的运作环境；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降低系统潜在的风险，包括数据丢失、安全漏洞、系统崩溃、性能降低及资源紧张；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检查并分析系统日志及跟踪文件，发现并排除数据库系统错误隐患；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检查数据库系统是否需要应用最新的补丁集；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检查数据库空间的使用情况；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协助进行数据库空间的规划管理；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检查数据库备份的完整性；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监控数据库性能；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确认系统的资源需求；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明确您系统的能力及不足；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优化Oracle Server的表现；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通过改善系统环境的稳定性来降低潜在的系统宕机时间。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★4. 数据库ADG维护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在客户硬件、软件资源允许的条件下为客户搭建oracle 数据库容灾备份系统，并提供容灾系统维护。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★5. 巡检服务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巡检服务是对Oracle进行全面检查的服务项目，通过该服务可使客户获得数据库运行的第一手资料，最大可能地发现存在的隐患，保障数据库稳定运行,从而保障医院业务的正常开展。同时，有针对性地提出预警及解决建议，使客户能够提早预防，最大限度降低运营风险。</w:t>
            </w:r>
          </w:p>
        </w:tc>
      </w:tr>
    </w:tbl>
    <w:p>
      <w:pPr>
        <w:rPr>
          <w:rFonts w:ascii="仿宋" w:hAnsi="仿宋" w:eastAsia="仿宋"/>
          <w:sz w:val="24"/>
          <w:szCs w:val="28"/>
        </w:rPr>
      </w:pPr>
    </w:p>
    <w:p>
      <w:pPr>
        <w:pStyle w:val="2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bookmarkStart w:id="0" w:name="_GoBack"/>
      <w:bookmarkEnd w:id="0"/>
    </w:p>
    <w:p>
      <w:pPr>
        <w:pStyle w:val="2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ascii="仿宋_GB2312" w:hAnsi="仿宋_GB2312" w:eastAsia="仿宋_GB2312" w:cs="仿宋_GB2312"/>
          <w:color w:val="000000"/>
          <w:sz w:val="24"/>
          <w:szCs w:val="24"/>
        </w:rPr>
        <w:t>服务地点：按照甲方指定地点。</w:t>
      </w:r>
    </w:p>
    <w:p>
      <w:pPr>
        <w:pStyle w:val="2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1.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乙方必须对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本次维保设备的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维保服务提供原厂授权函。</w:t>
      </w:r>
    </w:p>
    <w:p>
      <w:pPr>
        <w:pStyle w:val="2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2.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维保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服务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期内，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采购人可通过自助服务通道，在线咨询产品及服务相关信息，或进行自助查询相关问题处置方式，投标方提供设备原厂商400电话咨询、社区/智能服务、远程支持服务和现场服务等形式，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提供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专人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5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*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9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 xml:space="preserve"> 小时(工作日9:00~18:00)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技术支持，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远程技术支持服务热线电话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本地服务方7*24小时响应。</w:t>
      </w:r>
    </w:p>
    <w:p>
      <w:pPr>
        <w:pStyle w:val="2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3.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维保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 xml:space="preserve">服务期内，提供免费的软件升级包。 </w:t>
      </w:r>
    </w:p>
    <w:p>
      <w:pPr>
        <w:pStyle w:val="2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4.根据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SLA（Service-Level Agreement）服务等级协议，提供服务质量承诺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，如下：</w:t>
      </w:r>
    </w:p>
    <w:p>
      <w:pPr>
        <w:pStyle w:val="2"/>
        <w:ind w:firstLine="560"/>
        <w:rPr>
          <w:rFonts w:ascii="仿宋" w:hAnsi="仿宋" w:eastAsia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000000"/>
          <w:sz w:val="24"/>
          <w:szCs w:val="24"/>
        </w:rPr>
        <w:t>①</w:t>
      </w:r>
      <w:r>
        <w:rPr>
          <w:rFonts w:ascii="仿宋" w:hAnsi="仿宋" w:eastAsia="仿宋"/>
          <w:b/>
          <w:bCs/>
          <w:color w:val="000000"/>
          <w:sz w:val="24"/>
          <w:szCs w:val="24"/>
        </w:rPr>
        <w:t>非现场支持类服务标准</w:t>
      </w:r>
    </w:p>
    <w:tbl>
      <w:tblPr>
        <w:tblStyle w:val="6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1946"/>
        <w:gridCol w:w="1996"/>
        <w:gridCol w:w="1828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21" w:type="dxa"/>
            <w:shd w:val="clear" w:color="auto" w:fill="DAE3F3"/>
            <w:vAlign w:val="center"/>
          </w:tcPr>
          <w:p>
            <w:pPr>
              <w:pStyle w:val="2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时效描述</w:t>
            </w:r>
          </w:p>
        </w:tc>
        <w:tc>
          <w:tcPr>
            <w:tcW w:w="1946" w:type="dxa"/>
            <w:shd w:val="clear" w:color="auto" w:fill="DAE3F3"/>
            <w:vAlign w:val="center"/>
          </w:tcPr>
          <w:p>
            <w:pPr>
              <w:pStyle w:val="2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紧急故障（P1）</w:t>
            </w:r>
          </w:p>
        </w:tc>
        <w:tc>
          <w:tcPr>
            <w:tcW w:w="1996" w:type="dxa"/>
            <w:shd w:val="clear" w:color="auto" w:fill="DAE3F3"/>
            <w:vAlign w:val="center"/>
          </w:tcPr>
          <w:p>
            <w:pPr>
              <w:pStyle w:val="2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严重故障（P2）</w:t>
            </w:r>
          </w:p>
        </w:tc>
        <w:tc>
          <w:tcPr>
            <w:tcW w:w="1828" w:type="dxa"/>
            <w:shd w:val="clear" w:color="auto" w:fill="DAE3F3"/>
            <w:vAlign w:val="center"/>
          </w:tcPr>
          <w:p>
            <w:pPr>
              <w:pStyle w:val="2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一般故障（P3）</w:t>
            </w:r>
          </w:p>
        </w:tc>
        <w:tc>
          <w:tcPr>
            <w:tcW w:w="1778" w:type="dxa"/>
            <w:shd w:val="clear" w:color="auto" w:fill="DAE3F3"/>
            <w:vAlign w:val="center"/>
          </w:tcPr>
          <w:p>
            <w:pPr>
              <w:pStyle w:val="2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咨询问题（P4）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721" w:type="dxa"/>
            <w:vAlign w:val="center"/>
          </w:tcPr>
          <w:p>
            <w:pPr>
              <w:pStyle w:val="2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有效服务时间</w:t>
            </w:r>
          </w:p>
        </w:tc>
        <w:tc>
          <w:tcPr>
            <w:tcW w:w="1946" w:type="dxa"/>
            <w:vAlign w:val="center"/>
          </w:tcPr>
          <w:p>
            <w:pPr>
              <w:pStyle w:val="2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7×24</w:t>
            </w:r>
          </w:p>
        </w:tc>
        <w:tc>
          <w:tcPr>
            <w:tcW w:w="1996" w:type="dxa"/>
            <w:vAlign w:val="center"/>
          </w:tcPr>
          <w:p>
            <w:pPr>
              <w:pStyle w:val="2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7×24</w:t>
            </w:r>
          </w:p>
        </w:tc>
        <w:tc>
          <w:tcPr>
            <w:tcW w:w="1828" w:type="dxa"/>
            <w:vAlign w:val="center"/>
          </w:tcPr>
          <w:p>
            <w:pPr>
              <w:pStyle w:val="2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7×24</w:t>
            </w:r>
          </w:p>
        </w:tc>
        <w:tc>
          <w:tcPr>
            <w:tcW w:w="1778" w:type="dxa"/>
            <w:vAlign w:val="center"/>
          </w:tcPr>
          <w:p>
            <w:pPr>
              <w:pStyle w:val="2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7×24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721" w:type="dxa"/>
            <w:vAlign w:val="center"/>
          </w:tcPr>
          <w:p>
            <w:pPr>
              <w:pStyle w:val="2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响应时间</w:t>
            </w:r>
          </w:p>
        </w:tc>
        <w:tc>
          <w:tcPr>
            <w:tcW w:w="1946" w:type="dxa"/>
            <w:vAlign w:val="center"/>
          </w:tcPr>
          <w:p>
            <w:pPr>
              <w:pStyle w:val="2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≤20分钟</w:t>
            </w:r>
          </w:p>
        </w:tc>
        <w:tc>
          <w:tcPr>
            <w:tcW w:w="1996" w:type="dxa"/>
            <w:vAlign w:val="center"/>
          </w:tcPr>
          <w:p>
            <w:pPr>
              <w:pStyle w:val="2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≤2小时</w:t>
            </w:r>
          </w:p>
        </w:tc>
        <w:tc>
          <w:tcPr>
            <w:tcW w:w="1828" w:type="dxa"/>
            <w:vAlign w:val="center"/>
          </w:tcPr>
          <w:p>
            <w:pPr>
              <w:pStyle w:val="2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≤24小时</w:t>
            </w:r>
          </w:p>
        </w:tc>
        <w:tc>
          <w:tcPr>
            <w:tcW w:w="1778" w:type="dxa"/>
            <w:vAlign w:val="center"/>
          </w:tcPr>
          <w:p>
            <w:pPr>
              <w:pStyle w:val="2"/>
              <w:rPr>
                <w:rFonts w:ascii="仿宋" w:hAnsi="仿宋" w:eastAsia="仿宋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</w:rPr>
              <w:t>≤24小时</w:t>
            </w:r>
          </w:p>
        </w:tc>
      </w:tr>
    </w:tbl>
    <w:p>
      <w:pPr>
        <w:pStyle w:val="2"/>
        <w:ind w:firstLine="560"/>
        <w:rPr>
          <w:rFonts w:ascii="仿宋" w:hAnsi="仿宋" w:eastAsia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000000"/>
          <w:sz w:val="24"/>
          <w:szCs w:val="24"/>
        </w:rPr>
        <w:t>②</w:t>
      </w:r>
      <w:r>
        <w:rPr>
          <w:rFonts w:ascii="仿宋" w:hAnsi="仿宋" w:eastAsia="仿宋"/>
          <w:b/>
          <w:bCs/>
          <w:color w:val="000000"/>
          <w:sz w:val="24"/>
          <w:szCs w:val="24"/>
        </w:rPr>
        <w:t>现场支持类服务标准</w:t>
      </w:r>
    </w:p>
    <w:tbl>
      <w:tblPr>
        <w:tblStyle w:val="5"/>
        <w:tblW w:w="478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2016"/>
        <w:gridCol w:w="2064"/>
        <w:gridCol w:w="1881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02" w:type="dxa"/>
            <w:shd w:val="clear" w:color="auto" w:fill="DAE3F3"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时效描述</w:t>
            </w:r>
          </w:p>
        </w:tc>
        <w:tc>
          <w:tcPr>
            <w:tcW w:w="1970" w:type="dxa"/>
            <w:shd w:val="clear" w:color="auto" w:fill="DAE3F3"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紧急故障（P1）</w:t>
            </w:r>
          </w:p>
        </w:tc>
        <w:tc>
          <w:tcPr>
            <w:tcW w:w="2017" w:type="dxa"/>
            <w:shd w:val="clear" w:color="auto" w:fill="DAE3F3"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严重故障（P2）</w:t>
            </w:r>
          </w:p>
        </w:tc>
        <w:tc>
          <w:tcPr>
            <w:tcW w:w="1838" w:type="dxa"/>
            <w:shd w:val="clear" w:color="auto" w:fill="DAE3F3"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一般故障（P3）</w:t>
            </w:r>
          </w:p>
        </w:tc>
        <w:tc>
          <w:tcPr>
            <w:tcW w:w="1784" w:type="dxa"/>
            <w:shd w:val="clear" w:color="auto" w:fill="DAE3F3"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ascii="仿宋" w:hAnsi="仿宋" w:eastAsia="仿宋"/>
                <w:color w:val="000000"/>
                <w:szCs w:val="21"/>
              </w:rPr>
              <w:t>咨询问题（P4）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02" w:type="dxa"/>
            <w:vAlign w:val="center"/>
          </w:tcPr>
          <w:p>
            <w:pPr>
              <w:pStyle w:val="2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有效服务时间</w:t>
            </w:r>
          </w:p>
        </w:tc>
        <w:tc>
          <w:tcPr>
            <w:tcW w:w="1970" w:type="dxa"/>
            <w:vAlign w:val="center"/>
          </w:tcPr>
          <w:p>
            <w:pPr>
              <w:pStyle w:val="2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7×24</w:t>
            </w:r>
          </w:p>
        </w:tc>
        <w:tc>
          <w:tcPr>
            <w:tcW w:w="2017" w:type="dxa"/>
            <w:vAlign w:val="center"/>
          </w:tcPr>
          <w:p>
            <w:pPr>
              <w:pStyle w:val="2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7×24</w:t>
            </w:r>
          </w:p>
        </w:tc>
        <w:tc>
          <w:tcPr>
            <w:tcW w:w="1838" w:type="dxa"/>
            <w:vAlign w:val="center"/>
          </w:tcPr>
          <w:p>
            <w:pPr>
              <w:pStyle w:val="2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5×8</w:t>
            </w:r>
          </w:p>
        </w:tc>
        <w:tc>
          <w:tcPr>
            <w:tcW w:w="1784" w:type="dxa"/>
            <w:vAlign w:val="center"/>
          </w:tcPr>
          <w:p>
            <w:pPr>
              <w:pStyle w:val="2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5×8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702" w:type="dxa"/>
            <w:vAlign w:val="center"/>
          </w:tcPr>
          <w:p>
            <w:pPr>
              <w:pStyle w:val="2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响应时间</w:t>
            </w:r>
          </w:p>
        </w:tc>
        <w:tc>
          <w:tcPr>
            <w:tcW w:w="1970" w:type="dxa"/>
            <w:vAlign w:val="center"/>
          </w:tcPr>
          <w:p>
            <w:pPr>
              <w:pStyle w:val="2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≤20分钟</w:t>
            </w:r>
          </w:p>
        </w:tc>
        <w:tc>
          <w:tcPr>
            <w:tcW w:w="2017" w:type="dxa"/>
            <w:vAlign w:val="center"/>
          </w:tcPr>
          <w:p>
            <w:pPr>
              <w:pStyle w:val="2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≤2 小时</w:t>
            </w:r>
          </w:p>
        </w:tc>
        <w:tc>
          <w:tcPr>
            <w:tcW w:w="1838" w:type="dxa"/>
            <w:vAlign w:val="center"/>
          </w:tcPr>
          <w:p>
            <w:pPr>
              <w:pStyle w:val="2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≤24小时</w:t>
            </w:r>
          </w:p>
        </w:tc>
        <w:tc>
          <w:tcPr>
            <w:tcW w:w="1784" w:type="dxa"/>
            <w:vAlign w:val="center"/>
          </w:tcPr>
          <w:p>
            <w:pPr>
              <w:pStyle w:val="2"/>
              <w:ind w:firstLine="560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szCs w:val="21"/>
              </w:rPr>
              <w:t>-</w:t>
            </w:r>
          </w:p>
        </w:tc>
      </w:tr>
    </w:tbl>
    <w:p>
      <w:pPr>
        <w:pStyle w:val="2"/>
        <w:ind w:firstLine="560"/>
        <w:rPr>
          <w:rFonts w:ascii="仿宋" w:hAnsi="仿宋" w:eastAsia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/>
          <w:b/>
          <w:bCs/>
          <w:color w:val="000000"/>
          <w:sz w:val="24"/>
          <w:szCs w:val="24"/>
        </w:rPr>
        <w:t>③</w:t>
      </w:r>
      <w:r>
        <w:rPr>
          <w:rFonts w:ascii="仿宋" w:hAnsi="仿宋" w:eastAsia="仿宋"/>
          <w:b/>
          <w:bCs/>
          <w:color w:val="000000"/>
          <w:sz w:val="24"/>
          <w:szCs w:val="24"/>
        </w:rPr>
        <w:t>时效指标定义</w:t>
      </w:r>
    </w:p>
    <w:tbl>
      <w:tblPr>
        <w:tblStyle w:val="6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7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575" w:type="dxa"/>
            <w:shd w:val="clear" w:color="auto" w:fill="DAE3F3"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故障等级</w:t>
            </w:r>
          </w:p>
        </w:tc>
        <w:tc>
          <w:tcPr>
            <w:tcW w:w="7754" w:type="dxa"/>
            <w:shd w:val="clear" w:color="auto" w:fill="DAE3F3"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故障等级定义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575" w:type="dxa"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P1：紧急故障</w:t>
            </w:r>
          </w:p>
        </w:tc>
        <w:tc>
          <w:tcPr>
            <w:tcW w:w="7754" w:type="dxa"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出现严重故障，对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学校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网络和业务运营造成严重影响，包含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学校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在使用中发现所有服务终端或功能损坏的事件。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75" w:type="dxa"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P2：严重故障</w:t>
            </w:r>
          </w:p>
        </w:tc>
        <w:tc>
          <w:tcPr>
            <w:tcW w:w="7754" w:type="dxa"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对业务造成显著影响，故障有可能导致业务中断，产品部分操作不可用（但功能正常），对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学校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相关的领域没有影响，或影响可以设法规避的事件。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575" w:type="dxa"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P3：一般故障</w:t>
            </w:r>
          </w:p>
        </w:tc>
        <w:tc>
          <w:tcPr>
            <w:tcW w:w="7754" w:type="dxa"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对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业务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造成有限的影响，故障并不影响网络服务或功能，产品仍能正常运转，但部分功能受限，此类场景不紧急，并未对</w:t>
            </w:r>
            <w:r>
              <w:rPr>
                <w:rFonts w:hint="eastAsia" w:ascii="仿宋" w:hAnsi="仿宋" w:eastAsia="仿宋"/>
                <w:color w:val="000000"/>
                <w:kern w:val="0"/>
                <w:sz w:val="21"/>
                <w:szCs w:val="21"/>
              </w:rPr>
              <w:t>学校</w:t>
            </w: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整体业务运作造成严重限制。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75" w:type="dxa"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P4：咨询问题</w:t>
            </w:r>
          </w:p>
        </w:tc>
        <w:tc>
          <w:tcPr>
            <w:tcW w:w="7754" w:type="dxa"/>
            <w:vAlign w:val="center"/>
          </w:tcPr>
          <w:p>
            <w:pPr>
              <w:pStyle w:val="2"/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hAnsi="仿宋" w:eastAsia="仿宋"/>
                <w:color w:val="000000"/>
                <w:kern w:val="0"/>
                <w:sz w:val="21"/>
                <w:szCs w:val="21"/>
              </w:rPr>
              <w:t>关于设备配置类、版本类问题的资源，或对于产品功能或参数的咨询。</w:t>
            </w:r>
          </w:p>
        </w:tc>
      </w:tr>
    </w:tbl>
    <w:p>
      <w:pPr>
        <w:pStyle w:val="2"/>
        <w:ind w:firstLine="480" w:firstLineChars="200"/>
        <w:rPr>
          <w:rFonts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5.中标方维护人员须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针对服务内容建立维护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情况表</w:t>
      </w:r>
      <w:r>
        <w:rPr>
          <w:rFonts w:ascii="仿宋_GB2312" w:hAnsi="仿宋_GB2312" w:eastAsia="仿宋_GB2312" w:cs="仿宋_GB2312"/>
          <w:color w:val="000000"/>
          <w:sz w:val="24"/>
          <w:szCs w:val="24"/>
        </w:rPr>
        <w:t>，记录每次技术支持、故障解决等与软件有关的事项，在维保期后提供维保服务报告。</w:t>
      </w:r>
    </w:p>
    <w:p>
      <w:pPr>
        <w:rPr>
          <w:rFonts w:ascii="仿宋" w:hAnsi="仿宋" w:eastAsia="仿宋"/>
          <w:sz w:val="24"/>
          <w:szCs w:val="28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0ODJkNjIzMTdlYTY4ODI0NmUzNzhjN2M3MDdmMDEifQ=="/>
  </w:docVars>
  <w:rsids>
    <w:rsidRoot w:val="00000000"/>
    <w:rsid w:val="757C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spacing w:after="120"/>
    </w:pPr>
    <w:rPr>
      <w:rFonts w:ascii="等线" w:hAnsi="等线" w:eastAsia="等线" w:cs="Times New Roman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 字符"/>
    <w:basedOn w:val="7"/>
    <w:link w:val="2"/>
    <w:uiPriority w:val="99"/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3153</Words>
  <Characters>3558</Characters>
  <Paragraphs>213</Paragraphs>
  <TotalTime>78</TotalTime>
  <ScaleCrop>false</ScaleCrop>
  <LinksUpToDate>false</LinksUpToDate>
  <CharactersWithSpaces>3577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2022-06-09T08:25:00Z</dcterms:created>
  <dc:creator>吴 晓刚</dc:creator>
  <cp:lastModifiedBy>沙漏</cp:lastModifiedBy>
  <dcterms:modified xsi:type="dcterms:W3CDTF">2023-03-13T01:40:24Z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38ef921a4e004a5c9062ebe724c031d3_23</vt:lpwstr>
  </property>
  <property fmtid="{D5CDD505-2E9C-101B-9397-08002B2CF9AE}" pid="3" name="KSOProductBuildVer">
    <vt:lpwstr>2052-11.1.0.12980</vt:lpwstr>
  </property>
</Properties>
</file>